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142"/>
          <w:tab w:val="left" w:pos="720"/>
        </w:tabs>
        <w:spacing w:after="240" w:lineRule="auto"/>
        <w:jc w:val="center"/>
        <w:rPr>
          <w:rFonts w:ascii="Times" w:cs="Times" w:eastAsia="Times" w:hAnsi="Times"/>
          <w:b w:val="1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b w:val="1"/>
          <w:color w:val="1155cc"/>
          <w:highlight w:val="white"/>
          <w:rtl w:val="0"/>
        </w:rPr>
        <w:t xml:space="preserve">Обращение НПО стран Центральной Азии по вопросам изменения климата</w:t>
      </w:r>
    </w:p>
    <w:p w:rsidR="00000000" w:rsidDel="00000000" w:rsidP="00000000" w:rsidRDefault="00000000" w:rsidRPr="00000000" w14:paraId="00000002">
      <w:pPr>
        <w:widowControl w:val="0"/>
        <w:tabs>
          <w:tab w:val="left" w:pos="142"/>
          <w:tab w:val="left" w:pos="720"/>
        </w:tabs>
        <w:spacing w:after="240" w:lineRule="auto"/>
        <w:ind w:firstLine="700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Страны Центральной Азии относятся к группе стран наиболее уязвимых от изменения климата. Катастрофа Аральского моря стала наглядным примером неустойчивого развития нашего региона. При этом климатические изменения все заметнее влияют на жизнь десятков миллионов людей, особенно в сельской̆ местности. Дальнейшая деградация экосистем, растущий дефицит водных ресурсов, участившиеся засухи и другие природные опасные явления, усилившийся процесс опустынивания, сокращение урожайности и природные опасные явления требуют принятия срочных мер.  </w:t>
      </w:r>
    </w:p>
    <w:p w:rsidR="00000000" w:rsidDel="00000000" w:rsidP="00000000" w:rsidRDefault="00000000" w:rsidRPr="00000000" w14:paraId="00000003">
      <w:pPr>
        <w:widowControl w:val="0"/>
        <w:tabs>
          <w:tab w:val="left" w:pos="142"/>
          <w:tab w:val="left" w:pos="720"/>
        </w:tabs>
        <w:spacing w:after="240" w:lineRule="auto"/>
        <w:ind w:firstLine="700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Вместе с тем, Центральная Азия была и остается уникальным эко-регионом планеты, где расположен один из ключевых очагов биоразнообразия и где, как нигде в мире, видна сильная связь между изменением климата, состоянием экосистем и благополучием населения всего региона. </w:t>
      </w:r>
    </w:p>
    <w:p w:rsidR="00000000" w:rsidDel="00000000" w:rsidP="00000000" w:rsidRDefault="00000000" w:rsidRPr="00000000" w14:paraId="00000004">
      <w:pPr>
        <w:widowControl w:val="0"/>
        <w:tabs>
          <w:tab w:val="left" w:pos="142"/>
          <w:tab w:val="left" w:pos="720"/>
        </w:tabs>
        <w:spacing w:after="240" w:lineRule="auto"/>
        <w:ind w:firstLine="700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НПО стран Центральной Азии обращаются к Правительствам Казахстана, Кыргызстана, Таджикистана, Туркменистана и Узбекистана, международному и бизнес-сообществам с призывом существенно усилить национальные и региональные программы по предотвращению климатического кризиса и адаптации к последствиям его изменения в регионе, а также гарантировать инклюзивность процесса принятия решений и отсутствие препятствий для вовлечения в него всех заинтересованных сторон. Существенно   повысить роль гражданского сообщества в этом процессе на всех уровнях. </w:t>
      </w:r>
    </w:p>
    <w:p w:rsidR="00000000" w:rsidDel="00000000" w:rsidP="00000000" w:rsidRDefault="00000000" w:rsidRPr="00000000" w14:paraId="00000005">
      <w:pPr>
        <w:widowControl w:val="0"/>
        <w:tabs>
          <w:tab w:val="left" w:pos="142"/>
          <w:tab w:val="left" w:pos="720"/>
        </w:tabs>
        <w:spacing w:after="240" w:lineRule="auto"/>
        <w:ind w:firstLine="700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Определяемые на национальном уровне вклады (ОНУВ) стран Центральной Азии  показывают определенные сокращения парниковых газов к 2030 г. Однако, чтобы предотвратить климатический кризис и негативные последствия в регионе Центральной Азии,  выбросы должны достичь нулевого баланса к 2050 г. Поэтому предлагаемые странами ЦА обязательства являются не достаточными. Аргументы правительств о трудностях достижения углеродной нейтральности при их детальном рассмотрении оказываются не столь значимыми для людей и национальных экономик.</w:t>
      </w:r>
    </w:p>
    <w:p w:rsidR="00000000" w:rsidDel="00000000" w:rsidP="00000000" w:rsidRDefault="00000000" w:rsidRPr="00000000" w14:paraId="00000006">
      <w:pPr>
        <w:widowControl w:val="0"/>
        <w:tabs>
          <w:tab w:val="left" w:pos="0"/>
        </w:tabs>
        <w:spacing w:after="240" w:before="240" w:lineRule="auto"/>
        <w:ind w:firstLine="283.4645669291339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Мы считаем, что правительства стран Центральной Азии могут и должны:</w:t>
      </w:r>
    </w:p>
    <w:p w:rsidR="00000000" w:rsidDel="00000000" w:rsidP="00000000" w:rsidRDefault="00000000" w:rsidRPr="00000000" w14:paraId="00000007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Принять более сильные цели по сокращению выбросов парниковых газов и более активную позицию в продвижении интересов и роли региона в международных  климатических обязательствах и процессах.</w:t>
      </w:r>
    </w:p>
    <w:p w:rsidR="00000000" w:rsidDel="00000000" w:rsidP="00000000" w:rsidRDefault="00000000" w:rsidRPr="00000000" w14:paraId="00000008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Обеспечить открытость существующих процессов разработки и реализации климатических политик с вовлечением НПО и  всех заинтересованных групп, особенно женщин и молодежи.</w:t>
      </w:r>
    </w:p>
    <w:p w:rsidR="00000000" w:rsidDel="00000000" w:rsidP="00000000" w:rsidRDefault="00000000" w:rsidRPr="00000000" w14:paraId="00000009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Существенно усилить меры по адаптации к изменению климата, в первую очередь в водном и продовольственном секторах, требующих совместных трансграничных программ и региональной кооперации. </w:t>
      </w:r>
    </w:p>
    <w:p w:rsidR="00000000" w:rsidDel="00000000" w:rsidP="00000000" w:rsidRDefault="00000000" w:rsidRPr="00000000" w14:paraId="0000000A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Учитывая масштабные задачи по адаптации, создать систему центров по адаптации к изменению климата на региональном, национальном и местном уровнях, в том числе на базе местных НПО. Уже сегодня важно оказывать прямую поддержку наиболее уязвимому мелкому фермерству, женскому и молодежному предпринимательству и населению, проживающему в селах и отдаленных поселениях, а также в зонах климатических рисков.</w:t>
      </w:r>
    </w:p>
    <w:p w:rsidR="00000000" w:rsidDel="00000000" w:rsidP="00000000" w:rsidRDefault="00000000" w:rsidRPr="00000000" w14:paraId="0000000B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Создавать  благоприятные - не декларативные законодательные условия для поддержки ВИЭ и энергосбережения - не для крупного бизнеса и международных финансовых институтов как это происходит сегодня, но для населения, фермерских и домашних хозяйств и для решения проблем топливной бедности.</w:t>
      </w:r>
    </w:p>
    <w:p w:rsidR="00000000" w:rsidDel="00000000" w:rsidP="00000000" w:rsidRDefault="00000000" w:rsidRPr="00000000" w14:paraId="0000000C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Призываем также правительства Узбекистана и Казахстана отказаться от планов строительства АЭС, значительно усиливающих риски климатической и водной безопасности в регионе.</w:t>
      </w:r>
    </w:p>
    <w:p w:rsidR="00000000" w:rsidDel="00000000" w:rsidP="00000000" w:rsidRDefault="00000000" w:rsidRPr="00000000" w14:paraId="0000000D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Прекратить субсидирование ископаемого топлива и отказаться от дальнейшего развития неустойчивых и добывающих отраслей, которые ставят краткосрочные выгоды выше благосостояния людей и природы.</w:t>
      </w:r>
    </w:p>
    <w:p w:rsidR="00000000" w:rsidDel="00000000" w:rsidP="00000000" w:rsidRDefault="00000000" w:rsidRPr="00000000" w14:paraId="0000000E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Поддерживать государственными мерами распространение климатически устойчивых технологий, особенно на местном уровне, а также совместные научные исследования.</w:t>
      </w:r>
    </w:p>
    <w:p w:rsidR="00000000" w:rsidDel="00000000" w:rsidP="00000000" w:rsidRDefault="00000000" w:rsidRPr="00000000" w14:paraId="0000000F">
      <w:pPr>
        <w:widowControl w:val="0"/>
        <w:tabs>
          <w:tab w:val="left" w:pos="142"/>
          <w:tab w:val="left" w:pos="210"/>
        </w:tabs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Кардинально усилить меры по восстановлению и сохранению плодородия почв, горных, лесных, пастбищных и водных экосистем. Природные экосистемы являются основой для будущего развития стран Центральной Азии и для адаптации к изменению климата.</w:t>
      </w:r>
    </w:p>
    <w:p w:rsidR="00000000" w:rsidDel="00000000" w:rsidP="00000000" w:rsidRDefault="00000000" w:rsidRPr="00000000" w14:paraId="00000010">
      <w:pPr>
        <w:widowControl w:val="0"/>
        <w:tabs>
          <w:tab w:val="left" w:pos="142"/>
          <w:tab w:val="left" w:pos="210"/>
        </w:tabs>
        <w:spacing w:after="240" w:lineRule="auto"/>
        <w:ind w:left="496.0629921259843" w:hanging="435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rtl w:val="0"/>
        </w:rPr>
        <w:t xml:space="preserve">           </w:t>
        <w:tab/>
      </w: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Учитывать трансграничный характер водных ресурсов, экологических и климатических рисков и возможностей. Для этого требуется расширять и укреплять региональный диалог и сотрудничество в области охраны окружающей среды и борьбы с климатическим кризисом. </w:t>
      </w:r>
    </w:p>
    <w:p w:rsidR="00000000" w:rsidDel="00000000" w:rsidP="00000000" w:rsidRDefault="00000000" w:rsidRPr="00000000" w14:paraId="00000011">
      <w:pPr>
        <w:widowControl w:val="0"/>
        <w:tabs>
          <w:tab w:val="left" w:pos="142"/>
          <w:tab w:val="left" w:pos="720"/>
        </w:tabs>
        <w:spacing w:after="240" w:lineRule="auto"/>
        <w:ind w:firstLine="700"/>
        <w:jc w:val="both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Страны Центральной Азии представляют многомиллионное и трудолюбивое население, значимые для глобальной устойчивости естественные экосистемы, богатые природные ресурсы и биоразнообразие. Но созданные в прошлом неустойчивые практики и модели управления, отсутствие видения будущих перспектив не позволяют странам эффективно использовать этот потенциал.</w:t>
      </w:r>
    </w:p>
    <w:p w:rsidR="00000000" w:rsidDel="00000000" w:rsidP="00000000" w:rsidRDefault="00000000" w:rsidRPr="00000000" w14:paraId="00000012">
      <w:pPr>
        <w:widowControl w:val="0"/>
        <w:tabs>
          <w:tab w:val="left" w:pos="142"/>
          <w:tab w:val="left" w:pos="720"/>
        </w:tabs>
        <w:spacing w:after="240" w:lineRule="auto"/>
        <w:ind w:firstLine="700"/>
        <w:jc w:val="both"/>
        <w:rPr>
          <w:rFonts w:ascii="Times" w:cs="Times" w:eastAsia="Times" w:hAnsi="Times"/>
          <w:color w:val="1155cc"/>
        </w:rPr>
      </w:pP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Мы призываем правительства стран Центральной Азии и всех международных партнеров критически и совместно со всеми заинтересованными сторонами  пересмотреть существующие подходы, в том числе  устаревшие практики и инфраструктуры использования водных и земельных ресурсов, а также правовые и институциональные основы регионального сотрудничества и сформировать новую модель развития региона в условиях изменения климата и других глобальных вызовов.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142"/>
          <w:tab w:val="left" w:pos="720"/>
        </w:tabs>
        <w:spacing w:after="240" w:lineRule="auto"/>
        <w:ind w:firstLine="700"/>
        <w:jc w:val="center"/>
        <w:rPr>
          <w:rFonts w:ascii="Times" w:cs="Times" w:eastAsia="Times" w:hAnsi="Times"/>
          <w:color w:val="1155cc"/>
          <w:highlight w:val="white"/>
        </w:rPr>
      </w:pPr>
      <w:r w:rsidDel="00000000" w:rsidR="00000000" w:rsidRPr="00000000">
        <w:rPr>
          <w:rFonts w:ascii="Times" w:cs="Times" w:eastAsia="Times" w:hAnsi="Times"/>
          <w:color w:val="1155cc"/>
          <w:highlight w:val="white"/>
          <w:rtl w:val="0"/>
        </w:rPr>
        <w:t xml:space="preserve">Принято на региональной встрече НПО Казахстана, Кыргызстана, Таджикистана, Туркменистана, Узбекистана 7 октября 2021 г.</w:t>
      </w:r>
    </w:p>
    <w:p w:rsidR="00000000" w:rsidDel="00000000" w:rsidP="00000000" w:rsidRDefault="00000000" w:rsidRPr="00000000" w14:paraId="00000014">
      <w:pPr>
        <w:widowControl w:val="0"/>
        <w:tabs>
          <w:tab w:val="left" w:pos="142"/>
          <w:tab w:val="left" w:pos="720"/>
        </w:tabs>
        <w:spacing w:after="240" w:lineRule="auto"/>
        <w:jc w:val="both"/>
        <w:rPr>
          <w:rFonts w:ascii="Times" w:cs="Times" w:eastAsia="Times" w:hAnsi="Times"/>
          <w:b w:val="1"/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062.992125984252" w:left="1560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782C0F"/>
    <w:rPr>
      <w:rFonts w:ascii="Lucida Grande CY" w:cs="Lucida Grande CY" w:hAnsi="Lucida Grande CY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782C0F"/>
    <w:rPr>
      <w:rFonts w:ascii="Lucida Grande CY" w:cs="Lucida Grande CY" w:hAnsi="Lucida Grande CY"/>
      <w:sz w:val="18"/>
      <w:szCs w:val="18"/>
    </w:rPr>
  </w:style>
  <w:style w:type="paragraph" w:styleId="a5">
    <w:name w:val="List Paragraph"/>
    <w:basedOn w:val="a"/>
    <w:uiPriority w:val="34"/>
    <w:qFormat w:val="1"/>
    <w:rsid w:val="00F2208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310+SdIaWWJF6gaKP5OYrYStiA==">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2021-10-02T08:56:00Z</dcterms:created>
  <dc:creator>Bulat Yessekin</dc:creator>
</cp:coreProperties>
</file>